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color w:val="00594f"/>
          <w:sz w:val="40"/>
          <w:szCs w:val="40"/>
        </w:rPr>
      </w:pPr>
      <w:r w:rsidDel="00000000" w:rsidR="00000000" w:rsidRPr="00000000">
        <w:rPr>
          <w:b w:val="1"/>
          <w:color w:val="00594f"/>
          <w:sz w:val="40"/>
          <w:szCs w:val="4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6143625</wp:posOffset>
            </wp:positionH>
            <wp:positionV relativeFrom="page">
              <wp:posOffset>504825</wp:posOffset>
            </wp:positionV>
            <wp:extent cx="938213" cy="93821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628" l="4666" r="5333" t="4368"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114300</wp:posOffset>
            </wp:positionV>
            <wp:extent cx="1985963" cy="814169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9003" l="0" r="0" t="9003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8141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2160" w:firstLine="720"/>
        <w:rPr>
          <w:b w:val="1"/>
          <w:color w:val="00594f"/>
          <w:sz w:val="40"/>
          <w:szCs w:val="40"/>
        </w:rPr>
      </w:pPr>
      <w:r w:rsidDel="00000000" w:rsidR="00000000" w:rsidRPr="00000000">
        <w:rPr>
          <w:b w:val="1"/>
          <w:color w:val="00594f"/>
          <w:sz w:val="26"/>
          <w:szCs w:val="26"/>
          <w:rtl w:val="0"/>
        </w:rPr>
        <w:t xml:space="preserve">     </w:t>
      </w:r>
      <w:r w:rsidDel="00000000" w:rsidR="00000000" w:rsidRPr="00000000">
        <w:rPr>
          <w:b w:val="1"/>
          <w:color w:val="00594f"/>
          <w:sz w:val="40"/>
          <w:szCs w:val="40"/>
          <w:rtl w:val="0"/>
        </w:rPr>
        <w:t xml:space="preserve">VOTE FEBRUARY 27, 2024   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color w:val="00594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color w:val="0059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="273.6" w:lineRule="auto"/>
        <w:ind w:left="-90" w:right="-270" w:hanging="2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Operational Millage brings $41 million into our General Fund budget; that is 16% of the budget.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="273.6" w:lineRule="auto"/>
        <w:ind w:left="-90" w:right="-270" w:hanging="27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Without this funding, the district would sink to one of the lowest per-pupil general fund revenues in Michigan.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="273.6" w:lineRule="auto"/>
        <w:ind w:left="-90" w:right="-270" w:hanging="2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a millage renewal,</w:t>
      </w:r>
      <w:r w:rsidDel="00000000" w:rsidR="00000000" w:rsidRPr="00000000">
        <w:rPr>
          <w:b w:val="1"/>
          <w:sz w:val="24"/>
          <w:szCs w:val="24"/>
          <w:rtl w:val="0"/>
        </w:rPr>
        <w:t xml:space="preserve"> not a new tax.</w:t>
      </w:r>
      <w:r w:rsidDel="00000000" w:rsidR="00000000" w:rsidRPr="00000000">
        <w:rPr>
          <w:sz w:val="24"/>
          <w:szCs w:val="24"/>
          <w:rtl w:val="0"/>
        </w:rPr>
        <w:t xml:space="preserve"> For homeowners, the Operational </w:t>
      </w:r>
      <w:r w:rsidDel="00000000" w:rsidR="00000000" w:rsidRPr="00000000">
        <w:rPr>
          <w:sz w:val="24"/>
          <w:szCs w:val="24"/>
          <w:rtl w:val="0"/>
        </w:rPr>
        <w:t xml:space="preserve">Millage</w:t>
      </w:r>
      <w:r w:rsidDel="00000000" w:rsidR="00000000" w:rsidRPr="00000000">
        <w:rPr>
          <w:sz w:val="24"/>
          <w:szCs w:val="24"/>
          <w:rtl w:val="0"/>
        </w:rPr>
        <w:t xml:space="preserve"> would drop from a maximum of 6.17 mills to 4 mills. The district assessed 2.04 mills for this year and expects the rate to settle at about 2.5 mills. The ballot will read 4 mills in case conditions change. The rate for homeowners could not go above 4 mills.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="273.6" w:lineRule="auto"/>
        <w:ind w:left="-90" w:right="-270" w:hanging="2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businesses in the district, the millage rate will stay at the 18 mill rate created with Proposal A changed school funding in 1994. This is where the majority of the funding ($34 million of the $41 million) comes from. This rate also applies if you own rental property.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="273.6" w:lineRule="auto"/>
        <w:ind w:left="-90" w:right="-270" w:hanging="2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Operational Millage</w:t>
      </w:r>
      <w:r w:rsidDel="00000000" w:rsidR="00000000" w:rsidRPr="00000000">
        <w:rPr>
          <w:sz w:val="24"/>
          <w:szCs w:val="24"/>
          <w:rtl w:val="0"/>
        </w:rPr>
        <w:t xml:space="preserve"> is part of the General Fund, which is used for daily operations. This money pays for staff, utility bills, classroom supplies, busing, etc. This is NOT A BOND proposal. This would not fund any major school construction or renovation projects.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="273.6" w:lineRule="auto"/>
        <w:ind w:left="-90" w:right="-270" w:hanging="2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Operational Millage Renewal </w:t>
      </w:r>
      <w:r w:rsidDel="00000000" w:rsidR="00000000" w:rsidRPr="00000000">
        <w:rPr>
          <w:sz w:val="24"/>
          <w:szCs w:val="24"/>
          <w:rtl w:val="0"/>
        </w:rPr>
        <w:t xml:space="preserve">does not pass, the district would need to cut $41 million from the budget. A 16% cut in daily expenses and would likely result in reductions in almost all programs and staffing areas.</w:t>
      </w:r>
    </w:p>
    <w:p w:rsidR="00000000" w:rsidDel="00000000" w:rsidP="00000000" w:rsidRDefault="00000000" w:rsidRPr="00000000" w14:paraId="0000000B">
      <w:pPr>
        <w:spacing w:after="120" w:line="273.6" w:lineRule="auto"/>
        <w:ind w:left="720" w:right="-27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ind w:left="0" w:firstLine="0"/>
        <w:jc w:val="center"/>
        <w:rPr>
          <w:b w:val="1"/>
          <w:color w:val="00594f"/>
          <w:sz w:val="38"/>
          <w:szCs w:val="38"/>
        </w:rPr>
      </w:pPr>
      <w:r w:rsidDel="00000000" w:rsidR="00000000" w:rsidRPr="00000000">
        <w:rPr>
          <w:b w:val="1"/>
          <w:color w:val="00594f"/>
          <w:sz w:val="38"/>
          <w:szCs w:val="38"/>
          <w:rtl w:val="1"/>
        </w:rPr>
        <w:t xml:space="preserve">شاركوا</w:t>
      </w:r>
      <w:r w:rsidDel="00000000" w:rsidR="00000000" w:rsidRPr="00000000">
        <w:rPr>
          <w:b w:val="1"/>
          <w:color w:val="00594f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color w:val="00594f"/>
          <w:sz w:val="38"/>
          <w:szCs w:val="38"/>
          <w:rtl w:val="1"/>
        </w:rPr>
        <w:t xml:space="preserve">في</w:t>
      </w:r>
      <w:r w:rsidDel="00000000" w:rsidR="00000000" w:rsidRPr="00000000">
        <w:rPr>
          <w:b w:val="1"/>
          <w:color w:val="00594f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color w:val="00594f"/>
          <w:sz w:val="38"/>
          <w:szCs w:val="38"/>
          <w:rtl w:val="1"/>
        </w:rPr>
        <w:t xml:space="preserve">انتخابات</w:t>
      </w:r>
      <w:r w:rsidDel="00000000" w:rsidR="00000000" w:rsidRPr="00000000">
        <w:rPr>
          <w:b w:val="1"/>
          <w:color w:val="00594f"/>
          <w:sz w:val="38"/>
          <w:szCs w:val="38"/>
          <w:rtl w:val="1"/>
        </w:rPr>
        <w:t xml:space="preserve"> ٢٧ </w:t>
      </w:r>
      <w:r w:rsidDel="00000000" w:rsidR="00000000" w:rsidRPr="00000000">
        <w:rPr>
          <w:b w:val="1"/>
          <w:color w:val="00594f"/>
          <w:sz w:val="38"/>
          <w:szCs w:val="38"/>
          <w:rtl w:val="1"/>
        </w:rPr>
        <w:t xml:space="preserve">شباط</w:t>
      </w:r>
      <w:r w:rsidDel="00000000" w:rsidR="00000000" w:rsidRPr="00000000">
        <w:rPr>
          <w:b w:val="1"/>
          <w:color w:val="00594f"/>
          <w:sz w:val="38"/>
          <w:szCs w:val="38"/>
          <w:rtl w:val="1"/>
        </w:rPr>
        <w:t xml:space="preserve"> ( </w:t>
      </w:r>
      <w:r w:rsidDel="00000000" w:rsidR="00000000" w:rsidRPr="00000000">
        <w:rPr>
          <w:b w:val="1"/>
          <w:color w:val="00594f"/>
          <w:sz w:val="38"/>
          <w:szCs w:val="38"/>
          <w:rtl w:val="1"/>
        </w:rPr>
        <w:t xml:space="preserve">فبراير</w:t>
      </w:r>
      <w:r w:rsidDel="00000000" w:rsidR="00000000" w:rsidRPr="00000000">
        <w:rPr>
          <w:b w:val="1"/>
          <w:color w:val="00594f"/>
          <w:sz w:val="38"/>
          <w:szCs w:val="38"/>
          <w:rtl w:val="1"/>
        </w:rPr>
        <w:t xml:space="preserve">) ٢٠٢٤ </w:t>
      </w:r>
    </w:p>
    <w:p w:rsidR="00000000" w:rsidDel="00000000" w:rsidP="00000000" w:rsidRDefault="00000000" w:rsidRPr="00000000" w14:paraId="0000000D">
      <w:pPr>
        <w:bidi w:val="1"/>
        <w:spacing w:line="240" w:lineRule="auto"/>
        <w:ind w:left="0" w:firstLine="0"/>
        <w:jc w:val="center"/>
        <w:rPr>
          <w:b w:val="1"/>
          <w:color w:val="00594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spacing w:after="0" w:afterAutospacing="0" w:line="276" w:lineRule="auto"/>
        <w:ind w:left="720" w:right="-27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يجلب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برنامج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التشغيلي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مبلغ</w:t>
      </w:r>
      <w:r w:rsidDel="00000000" w:rsidR="00000000" w:rsidRPr="00000000">
        <w:rPr>
          <w:sz w:val="26"/>
          <w:szCs w:val="26"/>
          <w:rtl w:val="1"/>
        </w:rPr>
        <w:t xml:space="preserve"> ٤١ </w:t>
      </w:r>
      <w:r w:rsidDel="00000000" w:rsidR="00000000" w:rsidRPr="00000000">
        <w:rPr>
          <w:sz w:val="26"/>
          <w:szCs w:val="26"/>
          <w:rtl w:val="1"/>
        </w:rPr>
        <w:t xml:space="preserve">مليون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دولار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صندوق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الميزانية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العامة</w:t>
      </w:r>
      <w:r w:rsidDel="00000000" w:rsidR="00000000" w:rsidRPr="00000000">
        <w:rPr>
          <w:sz w:val="26"/>
          <w:szCs w:val="26"/>
          <w:rtl w:val="1"/>
        </w:rPr>
        <w:t xml:space="preserve">؛ </w:t>
      </w:r>
      <w:r w:rsidDel="00000000" w:rsidR="00000000" w:rsidRPr="00000000">
        <w:rPr>
          <w:sz w:val="26"/>
          <w:szCs w:val="26"/>
          <w:rtl w:val="1"/>
        </w:rPr>
        <w:t xml:space="preserve">أي</w:t>
      </w:r>
      <w:r w:rsidDel="00000000" w:rsidR="00000000" w:rsidRPr="00000000">
        <w:rPr>
          <w:sz w:val="26"/>
          <w:szCs w:val="26"/>
          <w:rtl w:val="1"/>
        </w:rPr>
        <w:t xml:space="preserve"> ١٦ %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إجمالي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الميزانية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after="0" w:afterAutospacing="0" w:line="276" w:lineRule="auto"/>
        <w:ind w:left="720" w:right="-270" w:hanging="36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بدون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هذا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التمويل</w:t>
      </w:r>
      <w:r w:rsidDel="00000000" w:rsidR="00000000" w:rsidRPr="00000000">
        <w:rPr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b w:val="1"/>
          <w:sz w:val="26"/>
          <w:szCs w:val="26"/>
          <w:rtl w:val="1"/>
        </w:rPr>
        <w:t xml:space="preserve">سينخفض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تمويل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القطاع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التعليمي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إلى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واحد</w:t>
      </w:r>
      <w:r w:rsidDel="00000000" w:rsidR="00000000" w:rsidRPr="00000000">
        <w:rPr>
          <w:b w:val="1"/>
          <w:sz w:val="26"/>
          <w:szCs w:val="26"/>
          <w:rtl w:val="1"/>
        </w:rPr>
        <w:t xml:space="preserve">ً</w:t>
      </w:r>
      <w:r w:rsidDel="00000000" w:rsidR="00000000" w:rsidRPr="00000000">
        <w:rPr>
          <w:b w:val="1"/>
          <w:sz w:val="26"/>
          <w:szCs w:val="26"/>
          <w:rtl w:val="1"/>
        </w:rPr>
        <w:t xml:space="preserve">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أدنى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إيرادات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الميزانية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العامة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لكل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طالب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ميشيغان</w:t>
      </w:r>
      <w:r w:rsidDel="00000000" w:rsidR="00000000" w:rsidRPr="00000000">
        <w:rPr>
          <w:b w:val="1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after="0" w:afterAutospacing="0" w:line="276" w:lineRule="auto"/>
        <w:ind w:left="720" w:right="-27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اقتراع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لتجديد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( </w:t>
      </w:r>
      <w:r w:rsidDel="00000000" w:rsidR="00000000" w:rsidRPr="00000000">
        <w:rPr>
          <w:sz w:val="26"/>
          <w:szCs w:val="26"/>
          <w:rtl w:val="1"/>
        </w:rPr>
        <w:t xml:space="preserve">نسبة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الضريبة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الحالية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وليس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لفرض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ضريبة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جديدة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بالنسبة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لأصحاب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المنازل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ستنخفض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قيمة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التشغيلي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١٧. ٦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كحد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أقصى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٤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قام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القطاع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بتقييم</w:t>
      </w:r>
      <w:r w:rsidDel="00000000" w:rsidR="00000000" w:rsidRPr="00000000">
        <w:rPr>
          <w:sz w:val="26"/>
          <w:szCs w:val="26"/>
          <w:rtl w:val="1"/>
        </w:rPr>
        <w:t xml:space="preserve"> ٠٤ .٢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لهذا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وتتوقع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يستقر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المعدل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حوالي</w:t>
      </w:r>
      <w:r w:rsidDel="00000000" w:rsidR="00000000" w:rsidRPr="00000000">
        <w:rPr>
          <w:sz w:val="26"/>
          <w:szCs w:val="26"/>
          <w:rtl w:val="1"/>
        </w:rPr>
        <w:t xml:space="preserve"> ٢.٥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ستقرأ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بطاقة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الاقتراع</w:t>
      </w:r>
      <w:r w:rsidDel="00000000" w:rsidR="00000000" w:rsidRPr="00000000">
        <w:rPr>
          <w:sz w:val="26"/>
          <w:szCs w:val="26"/>
          <w:rtl w:val="1"/>
        </w:rPr>
        <w:t xml:space="preserve"> ٤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حالة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تغير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الظروف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يتجاوز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المعدل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لأصحاب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المنازل</w:t>
      </w:r>
      <w:r w:rsidDel="00000000" w:rsidR="00000000" w:rsidRPr="00000000">
        <w:rPr>
          <w:sz w:val="26"/>
          <w:szCs w:val="26"/>
          <w:rtl w:val="1"/>
        </w:rPr>
        <w:t xml:space="preserve"> ٤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line="276" w:lineRule="auto"/>
        <w:ind w:left="720" w:right="-27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بالنسبة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للأعمال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القطاع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سيبقى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معدل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حدود</w:t>
      </w:r>
      <w:r w:rsidDel="00000000" w:rsidR="00000000" w:rsidRPr="00000000">
        <w:rPr>
          <w:sz w:val="26"/>
          <w:szCs w:val="26"/>
          <w:rtl w:val="1"/>
        </w:rPr>
        <w:t xml:space="preserve"> ١٨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المطلوبة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الولاية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ومن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تأتي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غالبية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التمويل</w:t>
      </w:r>
      <w:r w:rsidDel="00000000" w:rsidR="00000000" w:rsidRPr="00000000">
        <w:rPr>
          <w:sz w:val="26"/>
          <w:szCs w:val="26"/>
          <w:rtl w:val="1"/>
        </w:rPr>
        <w:t xml:space="preserve"> (٣٤  </w:t>
      </w:r>
      <w:r w:rsidDel="00000000" w:rsidR="00000000" w:rsidRPr="00000000">
        <w:rPr>
          <w:sz w:val="26"/>
          <w:szCs w:val="26"/>
          <w:rtl w:val="1"/>
        </w:rPr>
        <w:t xml:space="preserve">مليون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دولار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أصل</w:t>
      </w:r>
      <w:r w:rsidDel="00000000" w:rsidR="00000000" w:rsidRPr="00000000">
        <w:rPr>
          <w:sz w:val="26"/>
          <w:szCs w:val="26"/>
          <w:rtl w:val="1"/>
        </w:rPr>
        <w:t xml:space="preserve"> ٤١ </w:t>
      </w:r>
      <w:r w:rsidDel="00000000" w:rsidR="00000000" w:rsidRPr="00000000">
        <w:rPr>
          <w:sz w:val="26"/>
          <w:szCs w:val="26"/>
          <w:rtl w:val="1"/>
        </w:rPr>
        <w:t xml:space="preserve">مليون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دولار</w:t>
      </w:r>
      <w:r w:rsidDel="00000000" w:rsidR="00000000" w:rsidRPr="00000000">
        <w:rPr>
          <w:sz w:val="26"/>
          <w:szCs w:val="26"/>
          <w:rtl w:val="1"/>
        </w:rPr>
        <w:t xml:space="preserve">). </w:t>
      </w:r>
      <w:r w:rsidDel="00000000" w:rsidR="00000000" w:rsidRPr="00000000">
        <w:rPr>
          <w:sz w:val="26"/>
          <w:szCs w:val="26"/>
          <w:rtl w:val="1"/>
        </w:rPr>
        <w:t xml:space="preserve">تنطبق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النسبة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أيض</w:t>
      </w:r>
      <w:r w:rsidDel="00000000" w:rsidR="00000000" w:rsidRPr="00000000">
        <w:rPr>
          <w:sz w:val="26"/>
          <w:szCs w:val="26"/>
          <w:rtl w:val="1"/>
        </w:rPr>
        <w:t xml:space="preserve">ً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ملكيتك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المؤجرة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0" w:afterAutospacing="0" w:line="276" w:lineRule="auto"/>
        <w:ind w:left="720" w:right="-270" w:hanging="360"/>
        <w:jc w:val="left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الم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ْ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ل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ج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التشغيلي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جزء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الصندوق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التمويل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يستخدم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للعمليات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اليومية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ت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دفع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الأموال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للموظفين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وفواتير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الخدمات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ولوازم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الفصول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الدراسية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والحافلات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ذلك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الرجاء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الانتباه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اقتراح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سندات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ولن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يستخدم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لتمويل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مشاريع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بناء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تجديد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كبرى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للمدارس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120" w:line="276" w:lineRule="auto"/>
        <w:ind w:left="720" w:right="-27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إذا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تمرير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مشروع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تجديد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الم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ْ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لج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rtl w:val="1"/>
        </w:rPr>
        <w:t xml:space="preserve">التشغيلي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فسوف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يتعين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القطاع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خفض</w:t>
      </w:r>
      <w:r w:rsidDel="00000000" w:rsidR="00000000" w:rsidRPr="00000000">
        <w:rPr>
          <w:sz w:val="26"/>
          <w:szCs w:val="26"/>
          <w:rtl w:val="1"/>
        </w:rPr>
        <w:t xml:space="preserve"> ٤١ </w:t>
      </w:r>
      <w:r w:rsidDel="00000000" w:rsidR="00000000" w:rsidRPr="00000000">
        <w:rPr>
          <w:sz w:val="26"/>
          <w:szCs w:val="26"/>
          <w:rtl w:val="1"/>
        </w:rPr>
        <w:t xml:space="preserve">مليون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دولار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الميزانية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بنسبة</w:t>
      </w:r>
      <w:r w:rsidDel="00000000" w:rsidR="00000000" w:rsidRPr="00000000">
        <w:rPr>
          <w:sz w:val="26"/>
          <w:szCs w:val="26"/>
          <w:rtl w:val="1"/>
        </w:rPr>
        <w:t xml:space="preserve"> ١٦ %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النفقات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اليومية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المرجح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يؤدي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التخفيض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خدمات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البرامج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ومجالات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التوظيف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تقريب</w:t>
      </w:r>
      <w:r w:rsidDel="00000000" w:rsidR="00000000" w:rsidRPr="00000000">
        <w:rPr>
          <w:sz w:val="26"/>
          <w:szCs w:val="26"/>
          <w:rtl w:val="1"/>
        </w:rPr>
        <w:t xml:space="preserve">ً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